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3A7" w:rsidRDefault="002173A7"/>
    <w:p w:rsidR="002173A7" w:rsidRPr="003A78C0" w:rsidRDefault="003A78C0">
      <w:pPr>
        <w:rPr>
          <w:rFonts w:ascii="Century Gothic" w:hAnsi="Century Gothic"/>
          <w:b/>
          <w:sz w:val="22"/>
          <w:szCs w:val="22"/>
        </w:rPr>
      </w:pPr>
      <w:r w:rsidRPr="003A78C0">
        <w:rPr>
          <w:rFonts w:ascii="Century Gothic" w:hAnsi="Century Gothic"/>
          <w:b/>
          <w:sz w:val="22"/>
          <w:szCs w:val="22"/>
        </w:rPr>
        <w:t>MEDIA RELEASE</w:t>
      </w:r>
    </w:p>
    <w:p w:rsidR="002173A7" w:rsidRPr="003A78C0" w:rsidRDefault="003A78C0">
      <w:pPr>
        <w:rPr>
          <w:rFonts w:ascii="Century Gothic" w:hAnsi="Century Gothic"/>
          <w:sz w:val="22"/>
          <w:szCs w:val="22"/>
        </w:rPr>
      </w:pPr>
      <w:r w:rsidRPr="003A78C0">
        <w:rPr>
          <w:rFonts w:ascii="Century Gothic" w:hAnsi="Century Gothic"/>
          <w:i/>
          <w:sz w:val="22"/>
          <w:szCs w:val="22"/>
        </w:rPr>
        <w:t>For immediate release</w:t>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002366E1">
        <w:rPr>
          <w:rFonts w:ascii="Century Gothic" w:hAnsi="Century Gothic"/>
          <w:sz w:val="22"/>
          <w:szCs w:val="22"/>
        </w:rPr>
        <w:t xml:space="preserve">                         </w:t>
      </w:r>
      <w:r w:rsidR="0003702F">
        <w:rPr>
          <w:rFonts w:ascii="Century Gothic" w:hAnsi="Century Gothic"/>
          <w:sz w:val="22"/>
          <w:szCs w:val="22"/>
        </w:rPr>
        <w:t xml:space="preserve">8 August </w:t>
      </w:r>
      <w:r w:rsidRPr="003A78C0">
        <w:rPr>
          <w:rFonts w:ascii="Century Gothic" w:hAnsi="Century Gothic"/>
          <w:sz w:val="22"/>
          <w:szCs w:val="22"/>
        </w:rPr>
        <w:t>2017</w:t>
      </w:r>
    </w:p>
    <w:p w:rsidR="002366E1" w:rsidRPr="00410F0A" w:rsidRDefault="002366E1" w:rsidP="002366E1">
      <w:pPr>
        <w:spacing w:after="120" w:line="360" w:lineRule="auto"/>
        <w:jc w:val="center"/>
        <w:rPr>
          <w:rFonts w:ascii="AvantGarde" w:hAnsi="AvantGarde"/>
          <w:b/>
          <w:bCs/>
          <w:color w:val="002060"/>
          <w:sz w:val="28"/>
          <w:szCs w:val="28"/>
        </w:rPr>
      </w:pPr>
      <w:r>
        <w:rPr>
          <w:rFonts w:ascii="AvantGarde" w:hAnsi="AvantGarde"/>
          <w:b/>
          <w:bCs/>
          <w:color w:val="002060"/>
          <w:sz w:val="28"/>
          <w:szCs w:val="28"/>
        </w:rPr>
        <w:br/>
      </w:r>
      <w:r w:rsidR="0003702F">
        <w:rPr>
          <w:rFonts w:ascii="AvantGarde" w:hAnsi="AvantGarde"/>
          <w:b/>
          <w:bCs/>
          <w:color w:val="002060"/>
          <w:sz w:val="28"/>
          <w:szCs w:val="28"/>
        </w:rPr>
        <w:t>Tax time: Are you claiming these unexpected depreciable assets</w:t>
      </w:r>
      <w:r w:rsidRPr="00410F0A">
        <w:rPr>
          <w:rFonts w:ascii="AvantGarde" w:hAnsi="AvantGarde"/>
          <w:b/>
          <w:bCs/>
          <w:color w:val="002060"/>
          <w:sz w:val="28"/>
          <w:szCs w:val="28"/>
        </w:rPr>
        <w:t xml:space="preserve">  </w:t>
      </w:r>
    </w:p>
    <w:p w:rsidR="0003702F" w:rsidRPr="0003702F" w:rsidRDefault="0003702F" w:rsidP="0003702F">
      <w:pPr>
        <w:spacing w:before="160" w:after="200" w:line="360" w:lineRule="auto"/>
        <w:jc w:val="both"/>
        <w:rPr>
          <w:rFonts w:ascii="Century Gothic" w:hAnsi="Century Gothic"/>
          <w:sz w:val="20"/>
          <w:szCs w:val="20"/>
        </w:rPr>
      </w:pPr>
      <w:r w:rsidRPr="0003702F">
        <w:rPr>
          <w:rFonts w:ascii="Century Gothic" w:hAnsi="Century Gothic"/>
          <w:sz w:val="20"/>
          <w:szCs w:val="20"/>
        </w:rPr>
        <w:t xml:space="preserve">BMT Tax Depreciation has compiled a list of its top five items that property investors may not </w:t>
      </w:r>
      <w:proofErr w:type="spellStart"/>
      <w:r w:rsidRPr="0003702F">
        <w:rPr>
          <w:rFonts w:ascii="Century Gothic" w:hAnsi="Century Gothic"/>
          <w:sz w:val="20"/>
          <w:szCs w:val="20"/>
        </w:rPr>
        <w:t>realise</w:t>
      </w:r>
      <w:proofErr w:type="spellEnd"/>
      <w:r w:rsidRPr="0003702F">
        <w:rPr>
          <w:rFonts w:ascii="Century Gothic" w:hAnsi="Century Gothic"/>
          <w:sz w:val="20"/>
          <w:szCs w:val="20"/>
        </w:rPr>
        <w:t xml:space="preserve"> they can claim tax deductions for. </w:t>
      </w:r>
    </w:p>
    <w:p w:rsidR="0003702F" w:rsidRPr="0003702F" w:rsidRDefault="0003702F" w:rsidP="0003702F">
      <w:pPr>
        <w:spacing w:before="160" w:after="200" w:line="360" w:lineRule="auto"/>
        <w:jc w:val="both"/>
        <w:rPr>
          <w:rFonts w:ascii="Century Gothic" w:hAnsi="Century Gothic" w:cstheme="minorHAnsi"/>
          <w:sz w:val="20"/>
          <w:szCs w:val="20"/>
        </w:rPr>
      </w:pPr>
      <w:r w:rsidRPr="0003702F">
        <w:rPr>
          <w:rFonts w:ascii="Century Gothic" w:hAnsi="Century Gothic" w:cstheme="minorHAnsi"/>
          <w:sz w:val="20"/>
          <w:szCs w:val="20"/>
        </w:rPr>
        <w:t xml:space="preserve">This list may prove helpful to property investors, as BMT has worked with more than half a million Australian investors to help them </w:t>
      </w:r>
      <w:proofErr w:type="spellStart"/>
      <w:r w:rsidRPr="0003702F">
        <w:rPr>
          <w:rFonts w:ascii="Century Gothic" w:hAnsi="Century Gothic" w:cstheme="minorHAnsi"/>
          <w:sz w:val="20"/>
          <w:szCs w:val="20"/>
        </w:rPr>
        <w:t>utilise</w:t>
      </w:r>
      <w:proofErr w:type="spellEnd"/>
      <w:r w:rsidRPr="0003702F">
        <w:rPr>
          <w:rFonts w:ascii="Century Gothic" w:hAnsi="Century Gothic" w:cstheme="minorHAnsi"/>
          <w:sz w:val="20"/>
          <w:szCs w:val="20"/>
        </w:rPr>
        <w:t xml:space="preserve"> tax depreciation to uncover legitimate tax deductions for the wear, tear and ageing of their investment properties.  </w:t>
      </w:r>
    </w:p>
    <w:p w:rsidR="0003702F" w:rsidRPr="0003702F" w:rsidRDefault="0003702F" w:rsidP="0003702F">
      <w:pPr>
        <w:spacing w:before="160" w:after="200" w:line="360" w:lineRule="auto"/>
        <w:jc w:val="both"/>
        <w:rPr>
          <w:rFonts w:ascii="Century Gothic" w:hAnsi="Century Gothic" w:cstheme="minorHAnsi"/>
          <w:sz w:val="20"/>
          <w:szCs w:val="20"/>
        </w:rPr>
      </w:pPr>
      <w:r w:rsidRPr="0003702F">
        <w:rPr>
          <w:rFonts w:ascii="Century Gothic" w:hAnsi="Century Gothic" w:cstheme="minorHAnsi"/>
          <w:sz w:val="20"/>
          <w:szCs w:val="20"/>
        </w:rPr>
        <w:t xml:space="preserve">“The Australian Tax Office (ATO) lists thousands of items that qualify for depreciation deductions and it can therefore be difficult for investors to ensure they have included every eligible asset in their claim,” said Bradley Beer, Chief Executive Officer of BMT. </w:t>
      </w:r>
    </w:p>
    <w:p w:rsidR="0003702F" w:rsidRPr="0003702F" w:rsidRDefault="0003702F" w:rsidP="0003702F">
      <w:pPr>
        <w:spacing w:before="160" w:after="200" w:line="360" w:lineRule="auto"/>
        <w:jc w:val="both"/>
        <w:rPr>
          <w:rFonts w:ascii="Century Gothic" w:hAnsi="Century Gothic"/>
          <w:sz w:val="20"/>
          <w:szCs w:val="20"/>
        </w:rPr>
      </w:pPr>
      <w:r w:rsidRPr="0003702F">
        <w:rPr>
          <w:rFonts w:ascii="Century Gothic" w:hAnsi="Century Gothic"/>
          <w:sz w:val="20"/>
          <w:szCs w:val="20"/>
        </w:rPr>
        <w:t xml:space="preserve">“As an example, bathroom accessories are modest additions to an investment property that can be easily overlooked but investors may be able to claim around $125 in deductions for things such as toilet brush holders, shower caddies and soap holders. </w:t>
      </w:r>
    </w:p>
    <w:p w:rsidR="0003702F" w:rsidRPr="0003702F" w:rsidRDefault="0003702F" w:rsidP="0003702F">
      <w:pPr>
        <w:spacing w:before="160" w:after="200" w:line="360" w:lineRule="auto"/>
        <w:jc w:val="both"/>
        <w:rPr>
          <w:rFonts w:ascii="Century Gothic" w:hAnsi="Century Gothic"/>
          <w:sz w:val="20"/>
          <w:szCs w:val="20"/>
        </w:rPr>
      </w:pPr>
      <w:r w:rsidRPr="0003702F">
        <w:rPr>
          <w:rFonts w:ascii="Century Gothic" w:hAnsi="Century Gothic"/>
          <w:sz w:val="20"/>
          <w:szCs w:val="20"/>
        </w:rPr>
        <w:t xml:space="preserve">“As these assets cost under $300, the ATO allows investors to claim their full value as an immediate deduction in the first full financial year. </w:t>
      </w:r>
    </w:p>
    <w:p w:rsidR="0003702F" w:rsidRPr="0003702F" w:rsidRDefault="0003702F" w:rsidP="0003702F">
      <w:pPr>
        <w:spacing w:before="160" w:after="200" w:line="360" w:lineRule="auto"/>
        <w:jc w:val="both"/>
        <w:rPr>
          <w:rFonts w:ascii="Century Gothic" w:hAnsi="Century Gothic"/>
          <w:sz w:val="20"/>
          <w:szCs w:val="20"/>
        </w:rPr>
      </w:pPr>
      <w:r w:rsidRPr="0003702F">
        <w:rPr>
          <w:rFonts w:ascii="Century Gothic" w:hAnsi="Century Gothic"/>
          <w:sz w:val="20"/>
          <w:szCs w:val="20"/>
        </w:rPr>
        <w:t xml:space="preserve">“Investors with holiday rental properties may need to purchase assets so guests are equipped to enjoy their stay, such as a kitchen cutlery or crockery sets. If these items cost an investor $285, they can claim their full value in the first financial year of deductions,” said Bradley Beer. </w:t>
      </w:r>
    </w:p>
    <w:p w:rsidR="0003702F" w:rsidRPr="0003702F" w:rsidRDefault="0003702F" w:rsidP="0003702F">
      <w:pPr>
        <w:spacing w:before="160" w:after="200" w:line="360" w:lineRule="auto"/>
        <w:jc w:val="both"/>
        <w:rPr>
          <w:rFonts w:ascii="Century Gothic" w:hAnsi="Century Gothic"/>
          <w:sz w:val="20"/>
          <w:szCs w:val="20"/>
        </w:rPr>
      </w:pPr>
      <w:r w:rsidRPr="0003702F">
        <w:rPr>
          <w:rFonts w:ascii="Century Gothic" w:hAnsi="Century Gothic"/>
          <w:sz w:val="20"/>
          <w:szCs w:val="20"/>
        </w:rPr>
        <w:t>BMT finds that many investors think deductions are only for assets contained inside a property’s structure. However, outdoor assets can also attract valuable deductions as well.</w:t>
      </w:r>
    </w:p>
    <w:p w:rsidR="0003702F" w:rsidRPr="0003702F" w:rsidRDefault="0003702F" w:rsidP="0003702F">
      <w:pPr>
        <w:spacing w:before="160" w:after="200" w:line="360" w:lineRule="auto"/>
        <w:jc w:val="both"/>
        <w:rPr>
          <w:rFonts w:ascii="Century Gothic" w:hAnsi="Century Gothic"/>
          <w:sz w:val="20"/>
          <w:szCs w:val="20"/>
        </w:rPr>
      </w:pPr>
      <w:r w:rsidRPr="0003702F">
        <w:rPr>
          <w:rFonts w:ascii="Century Gothic" w:hAnsi="Century Gothic"/>
          <w:sz w:val="20"/>
          <w:szCs w:val="20"/>
        </w:rPr>
        <w:t xml:space="preserve">“Artificial grass or turf matting is considered a removable plant and equipment asset. If an investor outlays $960 to install it then they may be able to claim a $180 deduction in the first financial year and $841 cumulatively over the first five years,” said Bradley Beer. </w:t>
      </w:r>
    </w:p>
    <w:p w:rsidR="0003702F" w:rsidRPr="0003702F" w:rsidRDefault="0003702F" w:rsidP="0003702F">
      <w:pPr>
        <w:spacing w:before="160" w:after="200" w:line="360" w:lineRule="auto"/>
        <w:jc w:val="both"/>
        <w:rPr>
          <w:rFonts w:ascii="Century Gothic" w:hAnsi="Century Gothic"/>
          <w:sz w:val="20"/>
          <w:szCs w:val="20"/>
        </w:rPr>
      </w:pPr>
      <w:r w:rsidRPr="0003702F">
        <w:rPr>
          <w:rFonts w:ascii="Century Gothic" w:hAnsi="Century Gothic"/>
          <w:sz w:val="20"/>
          <w:szCs w:val="20"/>
        </w:rPr>
        <w:t xml:space="preserve">Some investors may upgrade their properties to enhance their market appeal and in doing so, add big ticket assets to their property which can attract valuable deductions. </w:t>
      </w:r>
    </w:p>
    <w:p w:rsidR="0003702F" w:rsidRPr="0003702F" w:rsidRDefault="0003702F" w:rsidP="0003702F">
      <w:pPr>
        <w:spacing w:before="160" w:after="200" w:line="360" w:lineRule="auto"/>
        <w:jc w:val="both"/>
        <w:rPr>
          <w:rFonts w:ascii="Century Gothic" w:hAnsi="Century Gothic"/>
          <w:sz w:val="20"/>
          <w:szCs w:val="20"/>
        </w:rPr>
      </w:pPr>
      <w:r w:rsidRPr="0003702F">
        <w:rPr>
          <w:rFonts w:ascii="Century Gothic" w:hAnsi="Century Gothic"/>
          <w:sz w:val="20"/>
          <w:szCs w:val="20"/>
        </w:rPr>
        <w:t xml:space="preserve">“An investor may be able to claim a </w:t>
      </w:r>
      <w:proofErr w:type="gramStart"/>
      <w:r w:rsidRPr="0003702F">
        <w:rPr>
          <w:rFonts w:ascii="Century Gothic" w:hAnsi="Century Gothic"/>
          <w:sz w:val="20"/>
          <w:szCs w:val="20"/>
        </w:rPr>
        <w:t>first year</w:t>
      </w:r>
      <w:proofErr w:type="gramEnd"/>
      <w:r w:rsidRPr="0003702F">
        <w:rPr>
          <w:rFonts w:ascii="Century Gothic" w:hAnsi="Century Gothic"/>
          <w:sz w:val="20"/>
          <w:szCs w:val="20"/>
        </w:rPr>
        <w:t xml:space="preserve"> deduction of $1,270 for a home automation system that cost $6,350 and $4,269 in cumulative deductions over the first five years. </w:t>
      </w:r>
    </w:p>
    <w:p w:rsidR="0003702F" w:rsidRPr="0003702F" w:rsidRDefault="0003702F" w:rsidP="0003702F">
      <w:pPr>
        <w:spacing w:before="160" w:after="200" w:line="360" w:lineRule="auto"/>
        <w:jc w:val="both"/>
        <w:rPr>
          <w:rFonts w:ascii="Century Gothic" w:hAnsi="Century Gothic"/>
          <w:sz w:val="20"/>
          <w:szCs w:val="20"/>
        </w:rPr>
      </w:pPr>
      <w:r w:rsidRPr="0003702F">
        <w:rPr>
          <w:rFonts w:ascii="Century Gothic" w:hAnsi="Century Gothic"/>
          <w:sz w:val="20"/>
          <w:szCs w:val="20"/>
        </w:rPr>
        <w:t xml:space="preserve">“Some investors may install ‘green’ assets to enhance their property’s energy efficiency, and in doing so, may also save money on energy costs for their tenants. If an investor chooses to add a solar </w:t>
      </w:r>
      <w:r w:rsidRPr="0003702F">
        <w:rPr>
          <w:rFonts w:ascii="Century Gothic" w:hAnsi="Century Gothic"/>
          <w:sz w:val="20"/>
          <w:szCs w:val="20"/>
        </w:rPr>
        <w:lastRenderedPageBreak/>
        <w:t xml:space="preserve">powered generating system that costs $5,250, then they may attract a </w:t>
      </w:r>
      <w:proofErr w:type="gramStart"/>
      <w:r w:rsidRPr="0003702F">
        <w:rPr>
          <w:rFonts w:ascii="Century Gothic" w:hAnsi="Century Gothic"/>
          <w:sz w:val="20"/>
          <w:szCs w:val="20"/>
        </w:rPr>
        <w:t>first year</w:t>
      </w:r>
      <w:proofErr w:type="gramEnd"/>
      <w:r w:rsidRPr="0003702F">
        <w:rPr>
          <w:rFonts w:ascii="Century Gothic" w:hAnsi="Century Gothic"/>
          <w:sz w:val="20"/>
          <w:szCs w:val="20"/>
        </w:rPr>
        <w:t xml:space="preserve"> deduction of $525, and $2,150 in cumulative deductions over the first five years,” said Bradley Beer. </w:t>
      </w:r>
    </w:p>
    <w:p w:rsidR="0003702F" w:rsidRPr="0003702F" w:rsidRDefault="0003702F" w:rsidP="0003702F">
      <w:pPr>
        <w:spacing w:before="160" w:after="200" w:line="360" w:lineRule="auto"/>
        <w:jc w:val="both"/>
        <w:rPr>
          <w:rFonts w:ascii="Century Gothic" w:hAnsi="Century Gothic"/>
          <w:sz w:val="20"/>
          <w:szCs w:val="20"/>
        </w:rPr>
      </w:pPr>
      <w:r w:rsidRPr="0003702F">
        <w:rPr>
          <w:rFonts w:ascii="Century Gothic" w:hAnsi="Century Gothic"/>
          <w:sz w:val="20"/>
          <w:szCs w:val="20"/>
        </w:rPr>
        <w:t xml:space="preserve">According to the ATO, deductions fall into two categories – capital works allowance for the structural elements of a property such as walls, floors and ceilings and plant and equipment deductions for a property’s fixtures and fittings. </w:t>
      </w:r>
    </w:p>
    <w:p w:rsidR="0003702F" w:rsidRPr="0003702F" w:rsidRDefault="0003702F" w:rsidP="0003702F">
      <w:pPr>
        <w:spacing w:before="160" w:after="200" w:line="360" w:lineRule="auto"/>
        <w:jc w:val="both"/>
        <w:rPr>
          <w:rFonts w:ascii="Century Gothic" w:hAnsi="Century Gothic"/>
          <w:sz w:val="20"/>
          <w:szCs w:val="20"/>
        </w:rPr>
      </w:pPr>
      <w:r w:rsidRPr="0003702F">
        <w:rPr>
          <w:rFonts w:ascii="Century Gothic" w:hAnsi="Century Gothic"/>
          <w:sz w:val="20"/>
          <w:szCs w:val="20"/>
        </w:rPr>
        <w:t>“It’s very important for investors to be aware that the government has proposed changes to depreciation rules for plant and equipment assets found in second-hand properties where contracts are exchanged after the 9</w:t>
      </w:r>
      <w:r w:rsidRPr="0003702F">
        <w:rPr>
          <w:rFonts w:ascii="Century Gothic" w:hAnsi="Century Gothic"/>
          <w:sz w:val="20"/>
          <w:szCs w:val="20"/>
          <w:vertAlign w:val="superscript"/>
        </w:rPr>
        <w:t>th</w:t>
      </w:r>
      <w:r w:rsidRPr="0003702F">
        <w:rPr>
          <w:rFonts w:ascii="Century Gothic" w:hAnsi="Century Gothic"/>
          <w:sz w:val="20"/>
          <w:szCs w:val="20"/>
        </w:rPr>
        <w:t xml:space="preserve"> May 2017. If the proposed changes are legislated, investors will only be able to claim depreciation for plant and equipment assets that they spend money on themselves,” said Bradley Beer.</w:t>
      </w:r>
    </w:p>
    <w:p w:rsidR="0003702F" w:rsidRPr="0003702F" w:rsidRDefault="0003702F" w:rsidP="0003702F">
      <w:pPr>
        <w:spacing w:before="160" w:after="200" w:line="360" w:lineRule="auto"/>
        <w:jc w:val="both"/>
        <w:rPr>
          <w:rFonts w:ascii="Century Gothic" w:hAnsi="Century Gothic"/>
          <w:sz w:val="20"/>
          <w:szCs w:val="20"/>
        </w:rPr>
      </w:pPr>
      <w:r w:rsidRPr="0003702F">
        <w:rPr>
          <w:rFonts w:ascii="Century Gothic" w:hAnsi="Century Gothic"/>
          <w:sz w:val="20"/>
          <w:szCs w:val="20"/>
        </w:rPr>
        <w:t>“The good news is that existing investments will be grandfathered and investors who purchased up until 7:30pm on the 9</w:t>
      </w:r>
      <w:r w:rsidRPr="0003702F">
        <w:rPr>
          <w:rFonts w:ascii="Century Gothic" w:hAnsi="Century Gothic"/>
          <w:sz w:val="20"/>
          <w:szCs w:val="20"/>
          <w:vertAlign w:val="superscript"/>
        </w:rPr>
        <w:t>th</w:t>
      </w:r>
      <w:r w:rsidRPr="0003702F">
        <w:rPr>
          <w:rFonts w:ascii="Century Gothic" w:hAnsi="Century Gothic"/>
          <w:sz w:val="20"/>
          <w:szCs w:val="20"/>
        </w:rPr>
        <w:t xml:space="preserve"> May 2017 will still be able to claim depreciation as normal.</w:t>
      </w:r>
    </w:p>
    <w:p w:rsidR="0003702F" w:rsidRPr="0003702F" w:rsidRDefault="0003702F" w:rsidP="0003702F">
      <w:pPr>
        <w:spacing w:before="160" w:after="200" w:line="360" w:lineRule="auto"/>
        <w:jc w:val="both"/>
        <w:rPr>
          <w:rFonts w:ascii="Century Gothic" w:hAnsi="Century Gothic"/>
          <w:sz w:val="20"/>
          <w:szCs w:val="20"/>
        </w:rPr>
      </w:pPr>
      <w:r w:rsidRPr="0003702F">
        <w:rPr>
          <w:rFonts w:ascii="Century Gothic" w:hAnsi="Century Gothic"/>
          <w:sz w:val="20"/>
          <w:szCs w:val="20"/>
        </w:rPr>
        <w:t xml:space="preserve">“However, the confusion around these proposed changes and the complicated nature of depreciation means that it will be more valuable than ever for property investors to engage the services of an expert Quantity Surveyor to produce a tax depreciation schedule to ensure their claims are correct and </w:t>
      </w:r>
      <w:proofErr w:type="spellStart"/>
      <w:r w:rsidRPr="0003702F">
        <w:rPr>
          <w:rFonts w:ascii="Century Gothic" w:hAnsi="Century Gothic"/>
          <w:sz w:val="20"/>
          <w:szCs w:val="20"/>
        </w:rPr>
        <w:t>maximised</w:t>
      </w:r>
      <w:proofErr w:type="spellEnd"/>
      <w:r w:rsidRPr="0003702F">
        <w:rPr>
          <w:rFonts w:ascii="Century Gothic" w:hAnsi="Century Gothic"/>
          <w:sz w:val="20"/>
          <w:szCs w:val="20"/>
        </w:rPr>
        <w:t xml:space="preserve">. </w:t>
      </w:r>
    </w:p>
    <w:p w:rsidR="0003702F" w:rsidRPr="0003702F" w:rsidRDefault="0003702F" w:rsidP="0003702F">
      <w:pPr>
        <w:spacing w:before="160" w:after="200" w:line="360" w:lineRule="auto"/>
        <w:jc w:val="both"/>
        <w:rPr>
          <w:rFonts w:ascii="Century Gothic" w:hAnsi="Century Gothic"/>
          <w:sz w:val="20"/>
          <w:szCs w:val="20"/>
        </w:rPr>
      </w:pPr>
      <w:r w:rsidRPr="0003702F">
        <w:rPr>
          <w:rFonts w:ascii="Century Gothic" w:hAnsi="Century Gothic"/>
          <w:sz w:val="20"/>
          <w:szCs w:val="20"/>
        </w:rPr>
        <w:t xml:space="preserve"> </w:t>
      </w:r>
      <w:r w:rsidRPr="0003702F">
        <w:rPr>
          <w:rFonts w:ascii="Century Gothic" w:hAnsi="Century Gothic"/>
          <w:sz w:val="20"/>
          <w:szCs w:val="20"/>
        </w:rPr>
        <w:t xml:space="preserve">“Quantity Surveyors such as BMT are expert in finding every legitimate deduction while ensuring assets are claimed at the correct rate. The cost of a tax depreciation schedule is also 100 per cent tax deductible,” said Bradley Beer.  </w:t>
      </w:r>
    </w:p>
    <w:p w:rsidR="0003702F" w:rsidRPr="0003702F" w:rsidRDefault="0003702F" w:rsidP="0003702F">
      <w:pPr>
        <w:spacing w:before="200" w:after="200" w:line="360" w:lineRule="auto"/>
        <w:rPr>
          <w:rFonts w:ascii="Century Gothic" w:hAnsi="Century Gothic"/>
          <w:b/>
          <w:sz w:val="20"/>
          <w:szCs w:val="20"/>
        </w:rPr>
      </w:pPr>
      <w:r>
        <w:rPr>
          <w:rFonts w:ascii="Century Gothic" w:hAnsi="Century Gothic"/>
          <w:b/>
          <w:sz w:val="20"/>
          <w:szCs w:val="20"/>
        </w:rPr>
        <w:t>-</w:t>
      </w:r>
      <w:r w:rsidRPr="0003702F">
        <w:rPr>
          <w:rFonts w:ascii="Century Gothic" w:hAnsi="Century Gothic"/>
          <w:b/>
          <w:sz w:val="20"/>
          <w:szCs w:val="20"/>
        </w:rPr>
        <w:t>ENDS</w:t>
      </w:r>
      <w:r>
        <w:rPr>
          <w:rFonts w:ascii="Century Gothic" w:hAnsi="Century Gothic"/>
          <w:b/>
          <w:sz w:val="20"/>
          <w:szCs w:val="20"/>
        </w:rPr>
        <w:t>-</w:t>
      </w:r>
      <w:bookmarkStart w:id="0" w:name="_GoBack"/>
      <w:bookmarkEnd w:id="0"/>
    </w:p>
    <w:p w:rsidR="003A78C0" w:rsidRDefault="003A78C0">
      <w:pPr>
        <w:rPr>
          <w:rFonts w:ascii="Century Gothic" w:hAnsi="Century Gothic"/>
          <w:b/>
        </w:rPr>
      </w:pPr>
      <w:r>
        <w:rPr>
          <w:rFonts w:ascii="Century Gothic" w:hAnsi="Century Gothic"/>
          <w:b/>
        </w:rPr>
        <w:br w:type="page"/>
      </w:r>
    </w:p>
    <w:p w:rsidR="002173A7" w:rsidRDefault="003A78C0">
      <w:pPr>
        <w:rPr>
          <w:rFonts w:ascii="Century Gothic" w:hAnsi="Century Gothic"/>
          <w:sz w:val="20"/>
          <w:szCs w:val="20"/>
        </w:rPr>
      </w:pPr>
      <w:r>
        <w:rPr>
          <w:rFonts w:ascii="Century Gothic" w:hAnsi="Century Gothic"/>
          <w:b/>
        </w:rPr>
        <w:lastRenderedPageBreak/>
        <w:br/>
        <w:t>For all media enquires please contact:</w:t>
      </w:r>
      <w:r>
        <w:rPr>
          <w:rFonts w:ascii="Century Gothic" w:hAnsi="Century Gothic"/>
          <w:b/>
          <w:sz w:val="20"/>
          <w:szCs w:val="20"/>
        </w:rPr>
        <w:br/>
      </w:r>
      <w:r>
        <w:rPr>
          <w:rFonts w:ascii="Century Gothic" w:hAnsi="Century Gothic"/>
          <w:sz w:val="20"/>
          <w:szCs w:val="20"/>
        </w:rPr>
        <w:br/>
        <w:t xml:space="preserve">Bradley Beer </w:t>
      </w:r>
      <w:r>
        <w:rPr>
          <w:rFonts w:ascii="Century Gothic" w:hAnsi="Century Gothic"/>
          <w:sz w:val="20"/>
          <w:szCs w:val="20"/>
        </w:rPr>
        <w:br/>
        <w:t xml:space="preserve">CEO, BMT Tax Depreciation </w:t>
      </w:r>
      <w:r>
        <w:rPr>
          <w:rFonts w:ascii="Century Gothic" w:hAnsi="Century Gothic"/>
          <w:sz w:val="20"/>
          <w:szCs w:val="20"/>
        </w:rPr>
        <w:br/>
      </w:r>
      <w:r>
        <w:rPr>
          <w:rFonts w:ascii="Century Gothic" w:hAnsi="Century Gothic"/>
          <w:sz w:val="20"/>
          <w:szCs w:val="20"/>
        </w:rPr>
        <w:br/>
        <w:t>Phone:</w:t>
      </w:r>
      <w:r>
        <w:rPr>
          <w:rFonts w:ascii="Century Gothic" w:hAnsi="Century Gothic"/>
          <w:sz w:val="20"/>
          <w:szCs w:val="20"/>
        </w:rPr>
        <w:tab/>
        <w:t xml:space="preserve">0413 271 777 </w:t>
      </w:r>
      <w:r>
        <w:rPr>
          <w:rFonts w:ascii="Century Gothic" w:hAnsi="Century Gothic"/>
          <w:sz w:val="20"/>
          <w:szCs w:val="20"/>
        </w:rPr>
        <w:br/>
        <w:t>Email:</w:t>
      </w:r>
      <w:r>
        <w:rPr>
          <w:rFonts w:ascii="Century Gothic" w:hAnsi="Century Gothic"/>
          <w:sz w:val="20"/>
          <w:szCs w:val="20"/>
        </w:rPr>
        <w:tab/>
      </w:r>
      <w:hyperlink r:id="rId7" w:history="1">
        <w:r>
          <w:rPr>
            <w:rStyle w:val="Hyperlink"/>
            <w:rFonts w:ascii="Century Gothic" w:hAnsi="Century Gothic"/>
            <w:sz w:val="20"/>
            <w:szCs w:val="20"/>
          </w:rPr>
          <w:t>media@</w:t>
        </w:r>
      </w:hyperlink>
      <w:r>
        <w:rPr>
          <w:rStyle w:val="Hyperlink"/>
          <w:rFonts w:ascii="Century Gothic" w:hAnsi="Century Gothic"/>
          <w:sz w:val="20"/>
          <w:szCs w:val="20"/>
        </w:rPr>
        <w:t>bmtqs.com.au</w:t>
      </w:r>
    </w:p>
    <w:p w:rsidR="002173A7" w:rsidRDefault="002173A7">
      <w:pPr>
        <w:spacing w:line="360" w:lineRule="auto"/>
        <w:rPr>
          <w:rFonts w:ascii="Century Gothic" w:hAnsi="Century Gothic"/>
          <w:b/>
          <w:sz w:val="20"/>
          <w:szCs w:val="20"/>
        </w:rPr>
      </w:pPr>
    </w:p>
    <w:p w:rsidR="002173A7" w:rsidRDefault="003A78C0">
      <w:pPr>
        <w:spacing w:line="360" w:lineRule="auto"/>
        <w:rPr>
          <w:rFonts w:ascii="Century Gothic" w:hAnsi="Century Gothic"/>
          <w:b/>
        </w:rPr>
      </w:pPr>
      <w:r>
        <w:rPr>
          <w:rFonts w:ascii="Century Gothic" w:hAnsi="Century Gothic"/>
          <w:b/>
        </w:rPr>
        <w:t>About BMT Tax Depreciation</w:t>
      </w:r>
    </w:p>
    <w:p w:rsidR="002173A7" w:rsidRDefault="003A78C0">
      <w:pPr>
        <w:spacing w:line="360" w:lineRule="auto"/>
      </w:pPr>
      <w:r>
        <w:rPr>
          <w:rFonts w:ascii="Century Gothic" w:hAnsi="Century Gothic"/>
          <w:sz w:val="20"/>
          <w:szCs w:val="20"/>
        </w:rPr>
        <w:t xml:space="preserve">BMT Tax Depreciation (BMT) is a Quantity Surveying company </w:t>
      </w:r>
      <w:proofErr w:type="spellStart"/>
      <w:r>
        <w:rPr>
          <w:rFonts w:ascii="Century Gothic" w:hAnsi="Century Gothic"/>
          <w:sz w:val="20"/>
          <w:szCs w:val="20"/>
        </w:rPr>
        <w:t>specialising</w:t>
      </w:r>
      <w:proofErr w:type="spellEnd"/>
      <w:r>
        <w:rPr>
          <w:rFonts w:ascii="Century Gothic" w:hAnsi="Century Gothic"/>
          <w:sz w:val="20"/>
          <w:szCs w:val="20"/>
        </w:rPr>
        <w:t xml:space="preserve"> in the provision of tax depreciation schedules for residential and commercial investment properties. Commencing business in 1997, demand from property investors nationally has seen business expand Australia-wide with offices now located in Sydney, Parramatta, Melbourne, Brisbane, Newcastle, Adelaide, Perth, Gold Coast, Cairns, Canberra, Hobart and Darwin.</w:t>
      </w:r>
    </w:p>
    <w:p w:rsidR="002173A7" w:rsidRDefault="002173A7">
      <w:pPr>
        <w:tabs>
          <w:tab w:val="left" w:pos="2720"/>
        </w:tabs>
      </w:pPr>
    </w:p>
    <w:p w:rsidR="002173A7" w:rsidRDefault="002173A7">
      <w:pPr>
        <w:tabs>
          <w:tab w:val="left" w:pos="2720"/>
        </w:tabs>
      </w:pPr>
    </w:p>
    <w:p w:rsidR="002173A7" w:rsidRDefault="002173A7">
      <w:pPr>
        <w:tabs>
          <w:tab w:val="left" w:pos="2720"/>
        </w:tabs>
      </w:pPr>
    </w:p>
    <w:p w:rsidR="002173A7" w:rsidRDefault="002173A7">
      <w:pPr>
        <w:tabs>
          <w:tab w:val="left" w:pos="2720"/>
        </w:tabs>
      </w:pPr>
    </w:p>
    <w:p w:rsidR="002173A7" w:rsidRDefault="002173A7">
      <w:pPr>
        <w:tabs>
          <w:tab w:val="left" w:pos="2720"/>
        </w:tabs>
      </w:pPr>
    </w:p>
    <w:p w:rsidR="002173A7" w:rsidRDefault="002173A7">
      <w:pPr>
        <w:tabs>
          <w:tab w:val="left" w:pos="2720"/>
        </w:tabs>
      </w:pPr>
    </w:p>
    <w:p w:rsidR="002173A7" w:rsidRDefault="002173A7">
      <w:pPr>
        <w:tabs>
          <w:tab w:val="left" w:pos="2720"/>
        </w:tabs>
      </w:pPr>
    </w:p>
    <w:p w:rsidR="002173A7" w:rsidRDefault="002173A7">
      <w:pPr>
        <w:tabs>
          <w:tab w:val="left" w:pos="2720"/>
        </w:tabs>
      </w:pPr>
    </w:p>
    <w:sectPr w:rsidR="002173A7">
      <w:headerReference w:type="default" r:id="rId8"/>
      <w:footerReference w:type="default" r:id="rId9"/>
      <w:headerReference w:type="first" r:id="rId10"/>
      <w:pgSz w:w="11900" w:h="16840"/>
      <w:pgMar w:top="1531" w:right="992" w:bottom="1276" w:left="10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3A7" w:rsidRDefault="003A78C0">
      <w:r>
        <w:separator/>
      </w:r>
    </w:p>
  </w:endnote>
  <w:endnote w:type="continuationSeparator" w:id="0">
    <w:p w:rsidR="002173A7" w:rsidRDefault="003A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vantGarde">
    <w:altName w:val="Century Gothic"/>
    <w:panose1 w:val="000004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3A7" w:rsidRDefault="003A78C0">
    <w:pPr>
      <w:pStyle w:val="Footer"/>
    </w:pPr>
    <w:r>
      <w:rPr>
        <w:noProof/>
        <w:lang w:val="en-AU" w:eastAsia="en-AU"/>
      </w:rPr>
      <w:drawing>
        <wp:anchor distT="0" distB="0" distL="114300" distR="114300" simplePos="0" relativeHeight="251665408" behindDoc="0" locked="0" layoutInCell="1" allowOverlap="1">
          <wp:simplePos x="0" y="0"/>
          <wp:positionH relativeFrom="page">
            <wp:align>right</wp:align>
          </wp:positionH>
          <wp:positionV relativeFrom="paragraph">
            <wp:posOffset>-1952625</wp:posOffset>
          </wp:positionV>
          <wp:extent cx="7550785" cy="2760980"/>
          <wp:effectExtent l="0" t="0" r="0" b="1270"/>
          <wp:wrapNone/>
          <wp:docPr id="3" name="Picture 3" descr="Marketing:Graphic Design:BMT Stationery:2015_LH355 BMT Letterheads:2015_LH355_BMTLetterhead_ALL_PKG:All Addresses:2015_LH355_BMTLetterhead_ALL addresses_v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ing:Graphic Design:BMT Stationery:2015_LH355 BMT Letterheads:2015_LH355_BMTLetterhead_ALL_PKG:All Addresses:2015_LH355_BMTLetterhead_ALL addresses_v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2760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73A7" w:rsidRDefault="00217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3A7" w:rsidRDefault="003A78C0">
      <w:r>
        <w:separator/>
      </w:r>
    </w:p>
  </w:footnote>
  <w:footnote w:type="continuationSeparator" w:id="0">
    <w:p w:rsidR="002173A7" w:rsidRDefault="003A7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3A7" w:rsidRDefault="003A78C0">
    <w:pPr>
      <w:pStyle w:val="Header"/>
    </w:pPr>
    <w:r>
      <w:rPr>
        <w:noProof/>
        <w:lang w:val="en-AU" w:eastAsia="en-AU"/>
      </w:rPr>
      <w:drawing>
        <wp:anchor distT="0" distB="0" distL="114300" distR="114300" simplePos="0" relativeHeight="251663360" behindDoc="0" locked="0" layoutInCell="1" allowOverlap="1">
          <wp:simplePos x="0" y="0"/>
          <wp:positionH relativeFrom="margin">
            <wp:align>center</wp:align>
          </wp:positionH>
          <wp:positionV relativeFrom="paragraph">
            <wp:posOffset>-429260</wp:posOffset>
          </wp:positionV>
          <wp:extent cx="7560310" cy="1219835"/>
          <wp:effectExtent l="0" t="0" r="2540" b="0"/>
          <wp:wrapNone/>
          <wp:docPr id="1" name="Picture 1"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73A7" w:rsidRDefault="002173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3A7" w:rsidRDefault="003A78C0">
    <w:pPr>
      <w:pStyle w:val="Header"/>
    </w:pPr>
    <w:r>
      <w:rPr>
        <w:noProof/>
        <w:lang w:val="en-AU" w:eastAsia="en-AU"/>
      </w:rPr>
      <w:drawing>
        <wp:anchor distT="0" distB="0" distL="114300" distR="114300" simplePos="0" relativeHeight="251667456" behindDoc="0" locked="0" layoutInCell="1" allowOverlap="1">
          <wp:simplePos x="0" y="0"/>
          <wp:positionH relativeFrom="margin">
            <wp:align>center</wp:align>
          </wp:positionH>
          <wp:positionV relativeFrom="paragraph">
            <wp:posOffset>-448310</wp:posOffset>
          </wp:positionV>
          <wp:extent cx="7560310" cy="1219835"/>
          <wp:effectExtent l="0" t="0" r="2540" b="0"/>
          <wp:wrapNone/>
          <wp:docPr id="2" name="Picture 2"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73A7" w:rsidRDefault="002173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3A7"/>
    <w:rsid w:val="0003702F"/>
    <w:rsid w:val="002173A7"/>
    <w:rsid w:val="002366E1"/>
    <w:rsid w:val="003A7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0D6ACB17"/>
  <w14:defaultImageDpi w14:val="300"/>
  <w15:docId w15:val="{23B221E7-040D-4F80-8BB1-06BAF46F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strike w:val="0"/>
      <w:dstrike w:val="0"/>
      <w:color w:val="00548C"/>
      <w:u w:val="none"/>
      <w:effect w:val="none"/>
    </w:rPr>
  </w:style>
  <w:style w:type="paragraph" w:styleId="NormalWeb">
    <w:name w:val="Normal (Web)"/>
    <w:basedOn w:val="Normal"/>
    <w:uiPriority w:val="99"/>
    <w:unhideWhenUsed/>
    <w:rsid w:val="003A78C0"/>
    <w:pPr>
      <w:spacing w:before="100" w:beforeAutospacing="1" w:after="100" w:afterAutospacing="1"/>
    </w:pPr>
    <w:rPr>
      <w:rFonts w:ascii="Times New Roman" w:eastAsiaTheme="minorHAnsi" w:hAnsi="Times New Roman"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d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C2C0B-0C13-45DD-BE13-9E6B89321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BMT Tax Depreciation</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Brown</dc:creator>
  <cp:keywords/>
  <dc:description/>
  <cp:lastModifiedBy>Rani Bonwick</cp:lastModifiedBy>
  <cp:revision>4</cp:revision>
  <dcterms:created xsi:type="dcterms:W3CDTF">2017-09-14T00:47:00Z</dcterms:created>
  <dcterms:modified xsi:type="dcterms:W3CDTF">2017-12-08T03:41:00Z</dcterms:modified>
</cp:coreProperties>
</file>